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A3" w:rsidRPr="008C20F0" w:rsidRDefault="008C20F0" w:rsidP="008C20F0">
      <w:pPr>
        <w:jc w:val="center"/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  <w:noProof/>
        </w:rPr>
        <w:drawing>
          <wp:inline distT="0" distB="0" distL="114300" distR="114300">
            <wp:extent cx="1950720" cy="1950720"/>
            <wp:effectExtent l="0" t="0" r="11430" b="11430"/>
            <wp:docPr id="6" name="图片 6" descr="M-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-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A3" w:rsidRPr="008C20F0" w:rsidRDefault="008C20F0">
      <w:pPr>
        <w:rPr>
          <w:rFonts w:ascii="Times New Roman" w:hAnsi="Times New Roman" w:cs="Times New Roman"/>
          <w:b/>
          <w:bCs/>
        </w:rPr>
      </w:pPr>
      <w:r w:rsidRPr="008C20F0">
        <w:rPr>
          <w:rFonts w:ascii="Times New Roman" w:hAnsi="Times New Roman" w:cs="Times New Roman"/>
          <w:b/>
          <w:bCs/>
        </w:rPr>
        <w:t>Fiber Identifier</w:t>
      </w:r>
      <w:r w:rsidRPr="008C20F0">
        <w:rPr>
          <w:rFonts w:ascii="Times New Roman" w:hAnsi="Times New Roman" w:cs="Times New Roman"/>
          <w:b/>
          <w:bCs/>
        </w:rPr>
        <w:t xml:space="preserve"> S505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 xml:space="preserve">Optical Fiber Identifier can quickly identify the direction of transmitted fiber and display the relative core power without interrupting the current service. The fiber identifier recognizes modulation like, 270Hz,1KHz </w:t>
      </w:r>
      <w:r w:rsidRPr="008C20F0">
        <w:rPr>
          <w:rFonts w:ascii="Times New Roman" w:hAnsi="Times New Roman" w:cs="Times New Roman"/>
        </w:rPr>
        <w:t>and 2KHz with continuous audible tone. There are four adapter heads available: Ø0.25, Ø0.9, Ø2.0 and Ø3.0. This OFI is powered by 2pcs very normal AA batteries.</w:t>
      </w:r>
    </w:p>
    <w:p w:rsidR="008107A3" w:rsidRPr="008C20F0" w:rsidRDefault="008C20F0">
      <w:pPr>
        <w:rPr>
          <w:rFonts w:ascii="Times New Roman" w:hAnsi="Times New Roman" w:cs="Times New Roman"/>
          <w:b/>
          <w:bCs/>
        </w:rPr>
      </w:pPr>
      <w:r w:rsidRPr="008C20F0">
        <w:rPr>
          <w:rFonts w:ascii="Times New Roman" w:hAnsi="Times New Roman" w:cs="Times New Roman"/>
          <w:b/>
          <w:bCs/>
        </w:rPr>
        <w:t>Features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>Easy-to-use with “ONE KEY” operation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>Efficiently identifies the fiber transmission dir</w:t>
      </w:r>
      <w:r w:rsidRPr="008C20F0">
        <w:rPr>
          <w:rFonts w:ascii="Times New Roman" w:hAnsi="Times New Roman" w:cs="Times New Roman"/>
        </w:rPr>
        <w:t>ection and frequency tone (270Hz, 1KHz, 2KHz) with audible warning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>Displays the relative core power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 xml:space="preserve">Easy-to-replace </w:t>
      </w:r>
      <w:r w:rsidRPr="008C20F0">
        <w:rPr>
          <w:rFonts w:ascii="Times New Roman" w:hAnsi="Times New Roman" w:cs="Times New Roman"/>
        </w:rPr>
        <w:t>adaptor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>Durable metal housing and quality construction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>Lower power indication</w:t>
      </w:r>
    </w:p>
    <w:p w:rsidR="008107A3" w:rsidRPr="008C20F0" w:rsidRDefault="008C20F0">
      <w:pPr>
        <w:rPr>
          <w:rFonts w:ascii="Times New Roman" w:hAnsi="Times New Roman" w:cs="Times New Roman"/>
        </w:rPr>
      </w:pPr>
      <w:r w:rsidRPr="008C20F0">
        <w:rPr>
          <w:rFonts w:ascii="Times New Roman" w:hAnsi="Times New Roman" w:cs="Times New Roman"/>
        </w:rPr>
        <w:t xml:space="preserve">It's easy to carry and loss </w:t>
      </w:r>
      <w:r w:rsidRPr="008C20F0">
        <w:rPr>
          <w:rFonts w:ascii="Times New Roman" w:hAnsi="Times New Roman" w:cs="Times New Roman"/>
        </w:rPr>
        <w:t>adaptor</w:t>
      </w:r>
      <w:r w:rsidRPr="008C20F0">
        <w:rPr>
          <w:rFonts w:ascii="Times New Roman" w:hAnsi="Times New Roman" w:cs="Times New Roman"/>
        </w:rPr>
        <w:t xml:space="preserve"> can be avoided with new </w:t>
      </w:r>
      <w:r w:rsidRPr="008C20F0">
        <w:rPr>
          <w:rFonts w:ascii="Times New Roman" w:hAnsi="Times New Roman" w:cs="Times New Roman"/>
        </w:rPr>
        <w:t>ad</w:t>
      </w:r>
      <w:r w:rsidRPr="008C20F0">
        <w:rPr>
          <w:rFonts w:ascii="Times New Roman" w:hAnsi="Times New Roman" w:cs="Times New Roman"/>
        </w:rPr>
        <w:t>aptor</w:t>
      </w:r>
      <w:r w:rsidRPr="008C20F0">
        <w:rPr>
          <w:rFonts w:ascii="Times New Roman" w:hAnsi="Times New Roman" w:cs="Times New Roman"/>
        </w:rPr>
        <w:t xml:space="preserve"> box</w:t>
      </w:r>
    </w:p>
    <w:p w:rsidR="008107A3" w:rsidRPr="008C20F0" w:rsidRDefault="008C20F0">
      <w:pPr>
        <w:rPr>
          <w:rFonts w:ascii="Times New Roman" w:hAnsi="Times New Roman" w:cs="Times New Roman"/>
          <w:b/>
          <w:bCs/>
        </w:rPr>
      </w:pPr>
      <w:r w:rsidRPr="008C20F0">
        <w:rPr>
          <w:rFonts w:ascii="Times New Roman" w:hAnsi="Times New Roman" w:cs="Times New Roman"/>
          <w:b/>
          <w:bCs/>
        </w:rPr>
        <w:t>Specifications</w:t>
      </w:r>
    </w:p>
    <w:tbl>
      <w:tblPr>
        <w:tblW w:w="829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2586"/>
        <w:gridCol w:w="2505"/>
      </w:tblGrid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Identified Wavelength Range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800-1700 nm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Identified Signal Type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CW, 270Hz±5%</w:t>
            </w:r>
            <w:r w:rsidRPr="008C20F0">
              <w:rPr>
                <w:rFonts w:ascii="Times New Roman" w:hAnsi="Times New Roman" w:cs="Times New Roman"/>
              </w:rPr>
              <w:t>，</w:t>
            </w:r>
            <w:r w:rsidRPr="008C20F0">
              <w:rPr>
                <w:rFonts w:ascii="Times New Roman" w:hAnsi="Times New Roman" w:cs="Times New Roman"/>
              </w:rPr>
              <w:t>1kHz±5%</w:t>
            </w:r>
            <w:r w:rsidRPr="008C20F0">
              <w:rPr>
                <w:rFonts w:ascii="Times New Roman" w:hAnsi="Times New Roman" w:cs="Times New Roman"/>
              </w:rPr>
              <w:t>，</w:t>
            </w:r>
            <w:r w:rsidRPr="008C20F0">
              <w:rPr>
                <w:rFonts w:ascii="Times New Roman" w:hAnsi="Times New Roman" w:cs="Times New Roman"/>
              </w:rPr>
              <w:t>2kHz±5%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Detector Type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Ø1mm InGaAs 2pcs</w:t>
            </w:r>
          </w:p>
        </w:tc>
      </w:tr>
      <w:tr w:rsidR="008107A3" w:rsidRPr="008C20F0">
        <w:trPr>
          <w:cantSplit/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Adapter Type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Ø0.25,</w:t>
            </w:r>
            <w:r w:rsidRPr="008C20F0">
              <w:rPr>
                <w:rFonts w:ascii="Times New Roman" w:hAnsi="Times New Roman" w:cs="Times New Roman"/>
              </w:rPr>
              <w:t xml:space="preserve"> Ø0.9, Ø2.0, Ø3.0</w:t>
            </w:r>
          </w:p>
        </w:tc>
      </w:tr>
      <w:tr w:rsidR="008107A3" w:rsidRPr="008C20F0">
        <w:trPr>
          <w:trHeight w:val="18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Signal Direction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Left &amp; Right LED</w:t>
            </w:r>
          </w:p>
        </w:tc>
      </w:tr>
      <w:tr w:rsidR="008107A3" w:rsidRPr="008C20F0">
        <w:trPr>
          <w:trHeight w:val="258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Singe Direction Test Range</w:t>
            </w:r>
          </w:p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(dBm, CW/0.9mm bare fiber)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-46~10(1310nm)</w:t>
            </w:r>
          </w:p>
        </w:tc>
      </w:tr>
      <w:tr w:rsidR="008107A3" w:rsidRPr="008C20F0">
        <w:trPr>
          <w:trHeight w:val="202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-50~10(1550nm)</w:t>
            </w:r>
          </w:p>
        </w:tc>
      </w:tr>
      <w:tr w:rsidR="008107A3" w:rsidRPr="008C20F0">
        <w:trPr>
          <w:trHeight w:val="49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Signal Power Test Range</w:t>
            </w:r>
          </w:p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(dBm, CW/0.9mm bare fiber)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-50~+10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Signal Frequency Display (Hz)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270, 1k, 2k</w:t>
            </w:r>
          </w:p>
        </w:tc>
      </w:tr>
      <w:tr w:rsidR="008107A3" w:rsidRPr="008C20F0">
        <w:trPr>
          <w:trHeight w:val="202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Frequency Test Range</w:t>
            </w:r>
          </w:p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(dBm, Average Value)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 xml:space="preserve">Ø0.9, Ø2.0, Ø3.0 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-30~0 (270Hz,1KHz)</w:t>
            </w:r>
          </w:p>
        </w:tc>
      </w:tr>
      <w:tr w:rsidR="008107A3" w:rsidRPr="008C20F0">
        <w:trPr>
          <w:trHeight w:val="179"/>
        </w:trPr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 xml:space="preserve">-25~0 </w:t>
            </w:r>
            <w:r w:rsidRPr="008C20F0">
              <w:rPr>
                <w:rFonts w:ascii="Times New Roman" w:hAnsi="Times New Roman" w:cs="Times New Roman"/>
              </w:rPr>
              <w:t>(2KHz)</w:t>
            </w:r>
          </w:p>
        </w:tc>
      </w:tr>
      <w:tr w:rsidR="008107A3" w:rsidRPr="008C20F0">
        <w:trPr>
          <w:trHeight w:val="202"/>
        </w:trPr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Ø0.25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-25~0 (1KHz,2KHz)</w:t>
            </w:r>
          </w:p>
        </w:tc>
      </w:tr>
      <w:tr w:rsidR="008107A3" w:rsidRPr="008C20F0">
        <w:trPr>
          <w:trHeight w:val="179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-20~0 (2KHz)</w:t>
            </w:r>
          </w:p>
        </w:tc>
      </w:tr>
      <w:tr w:rsidR="008107A3" w:rsidRPr="008C20F0">
        <w:trPr>
          <w:trHeight w:val="186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Insertion Loss (</w:t>
            </w:r>
            <w:r w:rsidRPr="008C20F0">
              <w:rPr>
                <w:rFonts w:ascii="Times New Roman" w:hAnsi="Times New Roman" w:cs="Times New Roman"/>
              </w:rPr>
              <w:t>dB, Typical Value)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0.8 (1310nm)</w:t>
            </w:r>
          </w:p>
        </w:tc>
      </w:tr>
      <w:tr w:rsidR="008107A3" w:rsidRPr="008C20F0">
        <w:trPr>
          <w:trHeight w:val="194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1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2.5 (1550nm)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Alkaline Battery(V)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2pcs AAA batteries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Operating Temperature (</w:t>
            </w:r>
            <w:r w:rsidRPr="008C20F0">
              <w:rPr>
                <w:rFonts w:ascii="Times New Roman" w:hAnsi="Times New Roman" w:cs="Times New Roman"/>
              </w:rPr>
              <w:t>℃)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-10</w:t>
            </w:r>
            <w:r w:rsidRPr="008C20F0">
              <w:rPr>
                <w:rFonts w:ascii="Times New Roman" w:hAnsi="Times New Roman" w:cs="Times New Roman"/>
              </w:rPr>
              <w:t>－</w:t>
            </w:r>
            <w:r w:rsidRPr="008C20F0">
              <w:rPr>
                <w:rFonts w:ascii="Times New Roman" w:hAnsi="Times New Roman" w:cs="Times New Roman"/>
              </w:rPr>
              <w:t>+60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lastRenderedPageBreak/>
              <w:t>Storage Temperature (</w:t>
            </w:r>
            <w:r w:rsidRPr="008C20F0">
              <w:rPr>
                <w:rFonts w:ascii="Times New Roman" w:hAnsi="Times New Roman" w:cs="Times New Roman"/>
              </w:rPr>
              <w:t>℃)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-25</w:t>
            </w:r>
            <w:r w:rsidRPr="008C20F0">
              <w:rPr>
                <w:rFonts w:ascii="Times New Roman" w:hAnsi="Times New Roman" w:cs="Times New Roman"/>
              </w:rPr>
              <w:t>－</w:t>
            </w:r>
            <w:r w:rsidRPr="008C20F0">
              <w:rPr>
                <w:rFonts w:ascii="Times New Roman" w:hAnsi="Times New Roman" w:cs="Times New Roman"/>
              </w:rPr>
              <w:t>+70</w:t>
            </w:r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Dimension(mm)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196</w:t>
            </w:r>
            <w:r>
              <w:rPr>
                <w:rFonts w:ascii="Times New Roman" w:hAnsi="Times New Roman" w:cs="Times New Roman" w:hint="eastAsia"/>
              </w:rPr>
              <w:t>x</w:t>
            </w:r>
            <w:r w:rsidRPr="008C20F0">
              <w:rPr>
                <w:rFonts w:ascii="Times New Roman" w:hAnsi="Times New Roman" w:cs="Times New Roman"/>
              </w:rPr>
              <w:t>30.5</w:t>
            </w:r>
            <w:r>
              <w:rPr>
                <w:rFonts w:ascii="Times New Roman" w:hAnsi="Times New Roman" w:cs="Times New Roman"/>
              </w:rPr>
              <w:t>x</w:t>
            </w:r>
            <w:r w:rsidRPr="008C20F0"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</w:p>
        </w:tc>
      </w:tr>
      <w:tr w:rsidR="008107A3" w:rsidRPr="008C20F0">
        <w:trPr>
          <w:trHeight w:val="2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Weight(g)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A3" w:rsidRPr="008C20F0" w:rsidRDefault="008C20F0">
            <w:pPr>
              <w:rPr>
                <w:rFonts w:ascii="Times New Roman" w:hAnsi="Times New Roman" w:cs="Times New Roman"/>
              </w:rPr>
            </w:pPr>
            <w:r w:rsidRPr="008C20F0">
              <w:rPr>
                <w:rFonts w:ascii="Times New Roman" w:hAnsi="Times New Roman" w:cs="Times New Roman"/>
              </w:rPr>
              <w:t>195</w:t>
            </w:r>
          </w:p>
        </w:tc>
      </w:tr>
    </w:tbl>
    <w:p w:rsidR="008107A3" w:rsidRPr="008C20F0" w:rsidRDefault="008107A3">
      <w:pPr>
        <w:rPr>
          <w:rFonts w:ascii="Times New Roman" w:hAnsi="Times New Roman" w:cs="Times New Roman"/>
        </w:rPr>
      </w:pPr>
    </w:p>
    <w:sectPr w:rsidR="008107A3" w:rsidRPr="008C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E80806"/>
    <w:rsid w:val="008107A3"/>
    <w:rsid w:val="008C20F0"/>
    <w:rsid w:val="16E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348F1"/>
  <w15:docId w15:val="{EF2E8D27-7394-49B5-897B-E35D5CD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 w:cs="Arial"/>
      <w:sz w:val="18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YUNTANG</dc:creator>
  <cp:lastModifiedBy>GU YUNTANG</cp:lastModifiedBy>
  <cp:revision>2</cp:revision>
  <dcterms:created xsi:type="dcterms:W3CDTF">2018-04-05T06:32:00Z</dcterms:created>
  <dcterms:modified xsi:type="dcterms:W3CDTF">2019-06-10T07:20:00Z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